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68D" w:rsidRPr="0073668D" w:rsidRDefault="00BE22DC" w:rsidP="00F35FB9">
      <w:pPr>
        <w:rPr>
          <w:rFonts w:ascii="Times New Roman" w:hAnsi="Times New Roman" w:cs="Times New Roman"/>
          <w:bCs/>
        </w:rPr>
      </w:pPr>
      <w:r>
        <w:rPr>
          <w:rFonts w:ascii="Times New Roman" w:hAnsi="Times New Roman" w:cs="Times New Roman"/>
          <w:b/>
        </w:rPr>
        <w:t>Projekta ietvaros laika posmā no</w:t>
      </w:r>
      <w:r w:rsidR="0073668D" w:rsidRPr="0073668D">
        <w:rPr>
          <w:rFonts w:ascii="Times New Roman" w:hAnsi="Times New Roman" w:cs="Times New Roman"/>
          <w:b/>
        </w:rPr>
        <w:t xml:space="preserve"> 01.10.2013.-30.11.2013.</w:t>
      </w:r>
      <w:r>
        <w:rPr>
          <w:rFonts w:ascii="Times New Roman" w:hAnsi="Times New Roman" w:cs="Times New Roman"/>
          <w:b/>
        </w:rPr>
        <w:t>veiktais pētnieciskais darbs.</w:t>
      </w:r>
    </w:p>
    <w:p w:rsidR="0073668D" w:rsidRPr="0073668D" w:rsidRDefault="0073668D" w:rsidP="0073668D">
      <w:pPr>
        <w:numPr>
          <w:ilvl w:val="0"/>
          <w:numId w:val="1"/>
        </w:numPr>
        <w:tabs>
          <w:tab w:val="clear" w:pos="720"/>
          <w:tab w:val="num" w:pos="426"/>
        </w:tabs>
        <w:spacing w:after="0" w:line="240" w:lineRule="auto"/>
        <w:ind w:left="425" w:hanging="425"/>
        <w:jc w:val="both"/>
        <w:rPr>
          <w:rFonts w:ascii="Times New Roman" w:hAnsi="Times New Roman" w:cs="Times New Roman"/>
          <w:bCs/>
        </w:rPr>
      </w:pPr>
      <w:r w:rsidRPr="0073668D">
        <w:rPr>
          <w:rFonts w:ascii="Times New Roman" w:hAnsi="Times New Roman" w:cs="Times New Roman"/>
        </w:rPr>
        <w:t xml:space="preserve">Balstoties uz esošo literatūru, izveidots vienkāršots teorētiskais modelis magnētiskā šķidruma osmotiskās sūkšanās caur nemagnētisko elementu sistēmu aprakstam ārējā magnētiskā lauka un nehomogēnas temperatūras kolektīvas iedarbības apstākļos. Veikts izmantoto aproksimāciju precizitātes un dažu otrās kārtas efektu būtiskuma novērtējums. Izpētīta atvērtā koda bibliotēkas FEniCS (domāta šāda tipa uzdevumu skaitliskai atrisināšanai ar galīgo elementu metodi) dokumentācija un izmantošanas piemēri. </w:t>
      </w:r>
      <w:r w:rsidRPr="0073668D">
        <w:rPr>
          <w:rFonts w:ascii="Times New Roman" w:hAnsi="Times New Roman" w:cs="Times New Roman"/>
          <w:bCs/>
        </w:rPr>
        <w:t>(</w:t>
      </w:r>
      <w:r w:rsidRPr="0073668D">
        <w:rPr>
          <w:rFonts w:ascii="Times New Roman" w:hAnsi="Times New Roman" w:cs="Times New Roman"/>
          <w:bCs/>
          <w:i/>
        </w:rPr>
        <w:t>2.1. aktivitāte</w:t>
      </w:r>
      <w:r w:rsidRPr="0073668D">
        <w:rPr>
          <w:rFonts w:ascii="Times New Roman" w:hAnsi="Times New Roman" w:cs="Times New Roman"/>
          <w:bCs/>
        </w:rPr>
        <w:t>)</w:t>
      </w:r>
    </w:p>
    <w:p w:rsidR="0073668D" w:rsidRPr="0073668D" w:rsidRDefault="0073668D" w:rsidP="0073668D">
      <w:pPr>
        <w:numPr>
          <w:ilvl w:val="0"/>
          <w:numId w:val="1"/>
        </w:numPr>
        <w:tabs>
          <w:tab w:val="clear" w:pos="720"/>
          <w:tab w:val="num" w:pos="426"/>
        </w:tabs>
        <w:spacing w:after="0" w:line="240" w:lineRule="auto"/>
        <w:ind w:left="426" w:hanging="426"/>
        <w:jc w:val="both"/>
        <w:rPr>
          <w:rFonts w:ascii="Times New Roman" w:hAnsi="Times New Roman" w:cs="Times New Roman"/>
          <w:bCs/>
        </w:rPr>
      </w:pPr>
      <w:r w:rsidRPr="0073668D">
        <w:rPr>
          <w:rFonts w:ascii="Times New Roman" w:hAnsi="Times New Roman" w:cs="Times New Roman"/>
        </w:rPr>
        <w:t xml:space="preserve">Balstoties uz galīgo elementu metodes realizācijas ar atvērto kodu FEniCS izveidota programma magnētiskā šķidruma 2D osmotiskās kustības caur mikronu izmēra nemagnētisko elementu sistēmu ārējā magnētiskā lauka un nehomogēnas temperatūras kolektīvas iedarbības apstākļos skaitliskam aprēķinam. Skaitliskā aprēķina algoritms sevī ietver magnētiskā lauka vienādojuma, Stoksa vienādojuma šķidruma kustībai un magnētiskā piemaisījuma advekcijas-difūzijas vienādojuma secīgu atrisināšanu. Iegūto atrisinājumu pareizība pārbaudīta dažos vienkāršotos gadījumos salīdzinot ar analītiskiem atrisinājumiem. Provizoriskie aprēķini periodiskās sistēmās liecina, kā termomagnetoosmotiskie efekti spēj izsaukt vērā ņemamu magnētiskā šķidruma nelielu apjomu kustības ierosināšanu. Turpinot darbu, plānots papildināt programmu 3D sistēmu aprēķināšanai, apskatīt dažādas nemagnētisko elementu sistēmu konfigurācijas. </w:t>
      </w:r>
      <w:r w:rsidRPr="0073668D">
        <w:rPr>
          <w:rFonts w:ascii="Times New Roman" w:hAnsi="Times New Roman" w:cs="Times New Roman"/>
          <w:bCs/>
        </w:rPr>
        <w:t>(</w:t>
      </w:r>
      <w:r w:rsidRPr="0073668D">
        <w:rPr>
          <w:rFonts w:ascii="Times New Roman" w:hAnsi="Times New Roman" w:cs="Times New Roman"/>
          <w:bCs/>
          <w:i/>
        </w:rPr>
        <w:t>2.2. aktivitāte</w:t>
      </w:r>
      <w:r w:rsidRPr="0073668D">
        <w:rPr>
          <w:rFonts w:ascii="Times New Roman" w:hAnsi="Times New Roman" w:cs="Times New Roman"/>
          <w:bCs/>
        </w:rPr>
        <w:t>)</w:t>
      </w:r>
    </w:p>
    <w:p w:rsidR="0073668D" w:rsidRPr="0073668D" w:rsidRDefault="0073668D" w:rsidP="0073668D">
      <w:pPr>
        <w:numPr>
          <w:ilvl w:val="0"/>
          <w:numId w:val="1"/>
        </w:numPr>
        <w:tabs>
          <w:tab w:val="clear" w:pos="720"/>
          <w:tab w:val="num" w:pos="426"/>
        </w:tabs>
        <w:spacing w:after="0" w:line="240" w:lineRule="auto"/>
        <w:ind w:left="426" w:hanging="426"/>
        <w:jc w:val="both"/>
        <w:rPr>
          <w:rFonts w:ascii="Times New Roman" w:hAnsi="Times New Roman" w:cs="Times New Roman"/>
          <w:bCs/>
        </w:rPr>
      </w:pPr>
      <w:r w:rsidRPr="0073668D">
        <w:rPr>
          <w:rFonts w:ascii="Times New Roman" w:hAnsi="Times New Roman" w:cs="Times New Roman"/>
        </w:rPr>
        <w:t>Tika rēķināta magnetvada radītā spēka ietekme uz pastāvīgo magnētu sūkņa rotoru 2D gadījumā ar dažādām skaitliskajām programmām. Iegūts spēks, ar kādu tas stacionārā gadījumā pie vienas konkrētas pastāvīgo magnētu konfigurācijas pievelk rotoru vertikālā virzienā</w:t>
      </w:r>
      <w:r w:rsidRPr="0073668D">
        <w:rPr>
          <w:rFonts w:ascii="Times New Roman" w:hAnsi="Times New Roman" w:cs="Times New Roman"/>
          <w:bCs/>
        </w:rPr>
        <w:t>. (</w:t>
      </w:r>
      <w:r w:rsidRPr="0073668D">
        <w:rPr>
          <w:rFonts w:ascii="Times New Roman" w:hAnsi="Times New Roman" w:cs="Times New Roman"/>
          <w:bCs/>
          <w:i/>
        </w:rPr>
        <w:t>2.2. aktivitāte</w:t>
      </w:r>
      <w:r w:rsidRPr="0073668D">
        <w:rPr>
          <w:rFonts w:ascii="Times New Roman" w:hAnsi="Times New Roman" w:cs="Times New Roman"/>
          <w:bCs/>
        </w:rPr>
        <w:t>)</w:t>
      </w:r>
    </w:p>
    <w:p w:rsidR="0073668D" w:rsidRPr="0073668D" w:rsidRDefault="0073668D" w:rsidP="0073668D">
      <w:pPr>
        <w:numPr>
          <w:ilvl w:val="0"/>
          <w:numId w:val="1"/>
        </w:numPr>
        <w:tabs>
          <w:tab w:val="clear" w:pos="720"/>
          <w:tab w:val="num" w:pos="426"/>
        </w:tabs>
        <w:spacing w:after="0" w:line="240" w:lineRule="auto"/>
        <w:ind w:left="426" w:hanging="426"/>
        <w:jc w:val="both"/>
        <w:rPr>
          <w:rFonts w:ascii="Times New Roman" w:hAnsi="Times New Roman" w:cs="Times New Roman"/>
          <w:bCs/>
        </w:rPr>
      </w:pPr>
      <w:r w:rsidRPr="0073668D">
        <w:rPr>
          <w:rFonts w:ascii="Times New Roman" w:hAnsi="Times New Roman" w:cs="Times New Roman"/>
        </w:rPr>
        <w:t xml:space="preserve">3D aprēķinu shēmas gadījumā, pastāvīgo magnētu sūkņa rotora un kanāla aktīvās daļas ģeometrijas smalkās detaļas atmetot, tika ģenerēts nestrukturēts režģis, ar kura palīdzību tika veikti skaitliskie rēķini, un iegūts spēks, ar kādu tas stacionārā gadījumā pie vienas konkrētas pastāvīgo magnētu konfigurācijas pievelk rotoru vertikālā virzienā. </w:t>
      </w:r>
      <w:r w:rsidRPr="0073668D">
        <w:rPr>
          <w:rFonts w:ascii="Times New Roman" w:hAnsi="Times New Roman" w:cs="Times New Roman"/>
          <w:bCs/>
        </w:rPr>
        <w:t>(</w:t>
      </w:r>
      <w:r w:rsidRPr="0073668D">
        <w:rPr>
          <w:rFonts w:ascii="Times New Roman" w:hAnsi="Times New Roman" w:cs="Times New Roman"/>
          <w:bCs/>
          <w:i/>
        </w:rPr>
        <w:t>2.2. aktivitāte</w:t>
      </w:r>
      <w:r w:rsidRPr="0073668D">
        <w:rPr>
          <w:rFonts w:ascii="Times New Roman" w:hAnsi="Times New Roman" w:cs="Times New Roman"/>
          <w:bCs/>
        </w:rPr>
        <w:t>)</w:t>
      </w:r>
    </w:p>
    <w:p w:rsidR="0073668D" w:rsidRPr="0073668D" w:rsidRDefault="0073668D" w:rsidP="0073668D">
      <w:pPr>
        <w:numPr>
          <w:ilvl w:val="0"/>
          <w:numId w:val="1"/>
        </w:numPr>
        <w:tabs>
          <w:tab w:val="clear" w:pos="720"/>
          <w:tab w:val="num" w:pos="426"/>
        </w:tabs>
        <w:spacing w:after="0" w:line="240" w:lineRule="auto"/>
        <w:ind w:left="425" w:hanging="425"/>
        <w:jc w:val="both"/>
        <w:rPr>
          <w:rFonts w:ascii="Times New Roman" w:hAnsi="Times New Roman" w:cs="Times New Roman"/>
          <w:bCs/>
        </w:rPr>
      </w:pPr>
      <w:r w:rsidRPr="0073668D">
        <w:rPr>
          <w:rFonts w:ascii="Times New Roman" w:hAnsi="Times New Roman" w:cs="Times New Roman"/>
        </w:rPr>
        <w:t>Apskatīta literatūra saistībā ar PM sūkņiem, tai skaitā zinātniskās publikācijas dažādās datubāzēs un žurnālos. Vispārīgi a pskatītas publikācijas par sūkņu attīstītajiem parametriem, kā spiedienu, caurplūdi, darba temperatūru, izmēriem, motora jaudu. Izlasīta un sīkāk apskatīta metodika sūkņu parametru aprēķināšanai, kā fundamentālās formulas. Virspusēji apskatītas datorprogrammas ar kurām iespējams veikt apjomīgus aprēķinus izmantojot galīgo elementu metodes, piemēram, Solidworks, Comsol, Ansys.</w:t>
      </w:r>
      <w:r w:rsidRPr="0073668D">
        <w:rPr>
          <w:rFonts w:ascii="Times New Roman" w:hAnsi="Times New Roman" w:cs="Times New Roman"/>
          <w:bCs/>
        </w:rPr>
        <w:t xml:space="preserve"> (</w:t>
      </w:r>
      <w:r w:rsidRPr="0073668D">
        <w:rPr>
          <w:rFonts w:ascii="Times New Roman" w:hAnsi="Times New Roman" w:cs="Times New Roman"/>
          <w:bCs/>
          <w:i/>
        </w:rPr>
        <w:t>2.1. aktivitāte</w:t>
      </w:r>
      <w:r w:rsidRPr="0073668D">
        <w:rPr>
          <w:rFonts w:ascii="Times New Roman" w:hAnsi="Times New Roman" w:cs="Times New Roman"/>
          <w:bCs/>
        </w:rPr>
        <w:t xml:space="preserve">) </w:t>
      </w:r>
    </w:p>
    <w:p w:rsidR="0073668D" w:rsidRPr="00BE22DC" w:rsidRDefault="0073668D" w:rsidP="00BE22DC">
      <w:pPr>
        <w:numPr>
          <w:ilvl w:val="0"/>
          <w:numId w:val="1"/>
        </w:numPr>
        <w:tabs>
          <w:tab w:val="clear" w:pos="720"/>
          <w:tab w:val="num" w:pos="426"/>
        </w:tabs>
        <w:spacing w:after="0" w:line="240" w:lineRule="auto"/>
        <w:ind w:left="425" w:hanging="425"/>
        <w:jc w:val="both"/>
        <w:rPr>
          <w:rFonts w:ascii="Times New Roman" w:hAnsi="Times New Roman" w:cs="Times New Roman"/>
          <w:bCs/>
        </w:rPr>
      </w:pPr>
      <w:r w:rsidRPr="0073668D">
        <w:rPr>
          <w:rFonts w:ascii="Times New Roman" w:hAnsi="Times New Roman" w:cs="Times New Roman"/>
        </w:rPr>
        <w:t xml:space="preserve">Novembrī tika paveikts sekojošais aktivitātes 2.1. ietvaros: Veikta literatūras avotos esošo elektriskas ierosmes indukcijas sūkņu kavitācijas kritēriju aprēķinu metodikas meklēšana. Tika aplūkoti gan eksperimentāli, gan analītiski darbi, kuros tika analizēti elektromagnētisko sūkņu kavitācijas procesi.  Veikts literatūras meklējums klasisko pozitīva pārvietojuma hidraulikā pielietojamo sūkņu kavitācijas procesu aprakstiem un izdarīti pirmie secinājumi šo procesu salīdzināšanai. Lai salīdzinātu kavitācijas procesus indukcijas sūkņos un mehāniskajos sūkņos nepieciešams veikt indukcijas sūkņu kanāla ģeometrijas sīkāku izpēti, tādēļ uzsākta elektromagnētisko indukcijas sūkņu ar elektrisko ierosmi konstrukciju analīze. </w:t>
      </w:r>
      <w:r w:rsidRPr="0073668D">
        <w:rPr>
          <w:rFonts w:ascii="Times New Roman" w:hAnsi="Times New Roman" w:cs="Times New Roman"/>
          <w:bCs/>
        </w:rPr>
        <w:t>(</w:t>
      </w:r>
      <w:r w:rsidRPr="0073668D">
        <w:rPr>
          <w:rFonts w:ascii="Times New Roman" w:hAnsi="Times New Roman" w:cs="Times New Roman"/>
          <w:bCs/>
          <w:i/>
        </w:rPr>
        <w:t>2.1. aktivitāte</w:t>
      </w:r>
      <w:r w:rsidRPr="0073668D">
        <w:rPr>
          <w:rFonts w:ascii="Times New Roman" w:hAnsi="Times New Roman" w:cs="Times New Roman"/>
          <w:bCs/>
        </w:rPr>
        <w:t>)</w:t>
      </w:r>
    </w:p>
    <w:p w:rsidR="0073668D" w:rsidRPr="0073668D" w:rsidRDefault="0073668D" w:rsidP="0073668D">
      <w:pPr>
        <w:numPr>
          <w:ilvl w:val="0"/>
          <w:numId w:val="1"/>
        </w:numPr>
        <w:tabs>
          <w:tab w:val="clear" w:pos="720"/>
          <w:tab w:val="num" w:pos="426"/>
        </w:tabs>
        <w:spacing w:after="0" w:line="240" w:lineRule="auto"/>
        <w:ind w:left="425" w:hanging="425"/>
        <w:jc w:val="both"/>
        <w:rPr>
          <w:rFonts w:ascii="Times New Roman" w:hAnsi="Times New Roman" w:cs="Times New Roman"/>
          <w:bCs/>
        </w:rPr>
      </w:pPr>
      <w:r w:rsidRPr="0073668D">
        <w:rPr>
          <w:rFonts w:ascii="Times New Roman" w:hAnsi="Times New Roman" w:cs="Times New Roman"/>
        </w:rPr>
        <w:t>Veikta elektriskas ierosmes indukcijas sūkņu industriālu pielietojumu apzināšana un šajos pielietojumos nepieciešamo prasību noteikšana izmantojos literatūras avotus. Analizējot literatūras avotus nošķirti maisītāji un dozatori no sūkņiem un apkopotas prasību klāsts dažādiem industriāliem pielietojumiem – metalurģijai, atomenerģētikai, eksperimentālām ierīcēm. Uzsākta pastāvīgo magnētu sūkņu industriālo pielietojumu meklējumi literatūras avotos.</w:t>
      </w:r>
      <w:r w:rsidRPr="0073668D">
        <w:rPr>
          <w:rFonts w:ascii="Times New Roman" w:hAnsi="Times New Roman" w:cs="Times New Roman"/>
          <w:bCs/>
        </w:rPr>
        <w:t xml:space="preserve"> (</w:t>
      </w:r>
      <w:r w:rsidRPr="0073668D">
        <w:rPr>
          <w:rFonts w:ascii="Times New Roman" w:hAnsi="Times New Roman" w:cs="Times New Roman"/>
          <w:bCs/>
          <w:i/>
        </w:rPr>
        <w:t>2.1. aktivitāte</w:t>
      </w:r>
      <w:r w:rsidRPr="0073668D">
        <w:rPr>
          <w:rFonts w:ascii="Times New Roman" w:hAnsi="Times New Roman" w:cs="Times New Roman"/>
          <w:bCs/>
        </w:rPr>
        <w:t>)</w:t>
      </w:r>
    </w:p>
    <w:p w:rsidR="0073668D" w:rsidRPr="0073668D" w:rsidRDefault="0073668D" w:rsidP="0073668D">
      <w:pPr>
        <w:numPr>
          <w:ilvl w:val="0"/>
          <w:numId w:val="1"/>
        </w:numPr>
        <w:tabs>
          <w:tab w:val="clear" w:pos="720"/>
          <w:tab w:val="num" w:pos="426"/>
        </w:tabs>
        <w:spacing w:after="0" w:line="240" w:lineRule="auto"/>
        <w:ind w:left="425" w:hanging="425"/>
        <w:jc w:val="both"/>
        <w:rPr>
          <w:rFonts w:ascii="Times New Roman" w:hAnsi="Times New Roman" w:cs="Times New Roman"/>
          <w:bCs/>
        </w:rPr>
      </w:pPr>
      <w:r w:rsidRPr="0073668D">
        <w:rPr>
          <w:rFonts w:ascii="Times New Roman" w:hAnsi="Times New Roman" w:cs="Times New Roman"/>
        </w:rPr>
        <w:lastRenderedPageBreak/>
        <w:t>Veikta esošo analītisko sūkņu parametru aprēķinu modeļu analīze. Analizēti T. Kalniņa darbos pieejamie elektromagnētisko sūkņu analītiskie aprēķina modeļi. Pastāvīgo magnētu sūkņu analītiskie modeļi aplūkoti analizējot I. Bucenieka darbus</w:t>
      </w:r>
      <w:r w:rsidRPr="0073668D">
        <w:rPr>
          <w:rFonts w:ascii="Times New Roman" w:hAnsi="Times New Roman" w:cs="Times New Roman"/>
          <w:color w:val="000000"/>
        </w:rPr>
        <w:t xml:space="preserve">. </w:t>
      </w:r>
      <w:r w:rsidRPr="0073668D">
        <w:rPr>
          <w:rFonts w:ascii="Times New Roman" w:hAnsi="Times New Roman" w:cs="Times New Roman"/>
          <w:bCs/>
        </w:rPr>
        <w:t>(</w:t>
      </w:r>
      <w:r w:rsidRPr="0073668D">
        <w:rPr>
          <w:rFonts w:ascii="Times New Roman" w:hAnsi="Times New Roman" w:cs="Times New Roman"/>
          <w:bCs/>
          <w:i/>
        </w:rPr>
        <w:t>2.1. aktivitāte</w:t>
      </w:r>
      <w:r w:rsidRPr="0073668D">
        <w:rPr>
          <w:rFonts w:ascii="Times New Roman" w:hAnsi="Times New Roman" w:cs="Times New Roman"/>
          <w:bCs/>
        </w:rPr>
        <w:t>)</w:t>
      </w:r>
    </w:p>
    <w:p w:rsidR="0073668D" w:rsidRPr="0073668D" w:rsidRDefault="0073668D" w:rsidP="0073668D">
      <w:pPr>
        <w:numPr>
          <w:ilvl w:val="0"/>
          <w:numId w:val="1"/>
        </w:numPr>
        <w:tabs>
          <w:tab w:val="clear" w:pos="720"/>
          <w:tab w:val="num" w:pos="426"/>
        </w:tabs>
        <w:spacing w:after="0" w:line="240" w:lineRule="auto"/>
        <w:ind w:left="425" w:hanging="425"/>
        <w:jc w:val="both"/>
        <w:rPr>
          <w:rFonts w:ascii="Times New Roman" w:hAnsi="Times New Roman" w:cs="Times New Roman"/>
          <w:bCs/>
        </w:rPr>
      </w:pPr>
      <w:r w:rsidRPr="0073668D">
        <w:rPr>
          <w:rFonts w:ascii="Times New Roman" w:hAnsi="Times New Roman" w:cs="Times New Roman"/>
        </w:rPr>
        <w:t xml:space="preserve">Tika apgūtas/atkārtotas vispārīgas zināšanas par elektromagnētisma procesiem (E.Šilters, G.Sermons, J.Miķelsosns „Elektrodinamika”) un magnetohidrodinamiskajiem procesiem (A.Cēbers „Teorētiskā hidrodinamika”). Tika uzsākta materiālu vākšana par jau pieejamajām programmatūrām, ar kuru palīdzību būtu iespējams modelēt magnētisko lauku un MHD procesus. Tāpat notika iepazīstināšana ar Lorenca tipa ātruma sensora darbību un izstrādes principiem, kā rezultātā tika izgatavots sensors, kas var nomērīt vienu ātruma komponenti šķidrā metāla plūsmā. Veicot kalibrēšanu un testa mērījumus, tika secināts, ka ātruma sensora elektrodi ir neatbilstoša garuma, un nebija iespējams nomērīt relatīvi mazus ātrumus. Paralēli ātruma sensora izgatavošanai notika ultraskaņas sensora darbības principu apguve, lai vēlāk būtu iespējams veikt rezultātu validāciju. Ņemot vērā pirmā ātruma sensora trūkumus, tika nolemts izgatavot jaunu ātruma sensoru, kas būtu precīzāks, pie tam tādu, ar kuru vienlaicīgi būtu iespējams nomērīt abas ātruma komponentes (plaknē). </w:t>
      </w:r>
      <w:r w:rsidRPr="0073668D">
        <w:rPr>
          <w:rFonts w:ascii="Times New Roman" w:hAnsi="Times New Roman" w:cs="Times New Roman"/>
          <w:i/>
        </w:rPr>
        <w:t>(2.1. un 2.3. aktivitāte)</w:t>
      </w:r>
    </w:p>
    <w:p w:rsidR="0073668D" w:rsidRPr="0073668D" w:rsidRDefault="0073668D" w:rsidP="0073668D">
      <w:pPr>
        <w:numPr>
          <w:ilvl w:val="0"/>
          <w:numId w:val="1"/>
        </w:numPr>
        <w:tabs>
          <w:tab w:val="clear" w:pos="720"/>
          <w:tab w:val="num" w:pos="426"/>
        </w:tabs>
        <w:spacing w:after="0" w:line="240" w:lineRule="auto"/>
        <w:ind w:left="425" w:hanging="425"/>
        <w:jc w:val="both"/>
        <w:rPr>
          <w:rFonts w:ascii="Times New Roman" w:hAnsi="Times New Roman" w:cs="Times New Roman"/>
          <w:bCs/>
        </w:rPr>
      </w:pPr>
      <w:r w:rsidRPr="0073668D">
        <w:rPr>
          <w:rFonts w:ascii="Times New Roman" w:hAnsi="Times New Roman" w:cs="Times New Roman"/>
        </w:rPr>
        <w:t xml:space="preserve">Darbs pie ātruma sensora tika sākts oktobra beigās un pabeigts novembrī. Tomēr, ņemot vērā zināmu pieredzes trūkumu šāda darba veikšanā, sensors neizturēja pārbaudi – tika noteikts, ka vadi ir ar defektiem. Līdz ar to tika uzsākts darbs pie trešā sensora, kas tika pabeigts, kā arī izturēja pārbaudes. Novembrī tika uzsākta sensora kalibrācija, pēc tam varēs novērtēt šī sensora precizitāti. Papildus eksperimentālajam darbam, tika iepazītas modelēšanas programmas COMSOL iespējas. Visticamāk konkrētā programmatūra nespēs risināt nepieciešamos uzdevumus, jo nav iespējams modelēt MHD procesus 3 dimensijās. Līdz ar to modelēšanā lielākais potenciāls tiek saskatīts OpenFOAM, tāpēc tika mēģināts padziļināti izprast moduli </w:t>
      </w:r>
      <w:r w:rsidRPr="0073668D">
        <w:rPr>
          <w:rFonts w:ascii="Times New Roman" w:hAnsi="Times New Roman" w:cs="Times New Roman"/>
          <w:i/>
        </w:rPr>
        <w:t xml:space="preserve">mhdFoam </w:t>
      </w:r>
      <w:r w:rsidRPr="0073668D">
        <w:rPr>
          <w:rFonts w:ascii="Times New Roman" w:hAnsi="Times New Roman" w:cs="Times New Roman"/>
        </w:rPr>
        <w:t xml:space="preserve">un brīvi pieejamos interneta resursus (Margarita Sass-Tisovskaya, „Plasma Arc Welding Simulation with OpenFOAM”). </w:t>
      </w:r>
      <w:r w:rsidRPr="0073668D">
        <w:rPr>
          <w:rFonts w:ascii="Times New Roman" w:hAnsi="Times New Roman" w:cs="Times New Roman"/>
          <w:i/>
        </w:rPr>
        <w:t>(2.1. un 2.3. aktivitāte)</w:t>
      </w:r>
    </w:p>
    <w:p w:rsidR="0073668D" w:rsidRPr="0073668D" w:rsidRDefault="0073668D" w:rsidP="0073668D">
      <w:pPr>
        <w:numPr>
          <w:ilvl w:val="0"/>
          <w:numId w:val="1"/>
        </w:numPr>
        <w:tabs>
          <w:tab w:val="clear" w:pos="720"/>
          <w:tab w:val="num" w:pos="426"/>
        </w:tabs>
        <w:spacing w:after="0" w:line="240" w:lineRule="auto"/>
        <w:ind w:left="425" w:hanging="425"/>
        <w:jc w:val="both"/>
        <w:rPr>
          <w:rFonts w:ascii="Times New Roman" w:hAnsi="Times New Roman" w:cs="Times New Roman"/>
          <w:bCs/>
        </w:rPr>
      </w:pPr>
      <w:r w:rsidRPr="0073668D">
        <w:rPr>
          <w:rFonts w:ascii="Times New Roman" w:hAnsi="Times New Roman" w:cs="Times New Roman"/>
        </w:rPr>
        <w:t xml:space="preserve">Veikta lineāru elektromagnētisko sūkņu lielumu kārtas novērtējumi, atbilstoši fizikālās līdzības teorijai izsakot parametrus bezdimensionālu kritēriju formā. Tas paveikts gan vienpusēja, gan divpusēja sūkņa variantiem. Balstoties uz gūtajiem secinājumiem noteikti laboratorijas mēroga modeļeksperimenta parametri – ģeometriskie, elektromagnētiskie un hidrodinamiskie. Apzinātas modeļeksperimentā izmantojamo materiālu fizikālās īpašības. Uzsākts darbs pie termoelektromagnētiska mikrosūkņa koncepcijas izveides. </w:t>
      </w:r>
      <w:r w:rsidRPr="0073668D">
        <w:rPr>
          <w:rFonts w:ascii="Times New Roman" w:hAnsi="Times New Roman" w:cs="Times New Roman"/>
          <w:i/>
        </w:rPr>
        <w:t>(2.1. un 2.3. aktivitāte)</w:t>
      </w:r>
    </w:p>
    <w:p w:rsidR="0073668D" w:rsidRPr="0073668D" w:rsidRDefault="0073668D" w:rsidP="0073668D">
      <w:pPr>
        <w:numPr>
          <w:ilvl w:val="0"/>
          <w:numId w:val="1"/>
        </w:numPr>
        <w:tabs>
          <w:tab w:val="clear" w:pos="720"/>
          <w:tab w:val="num" w:pos="426"/>
        </w:tabs>
        <w:spacing w:after="0" w:line="240" w:lineRule="auto"/>
        <w:ind w:left="425" w:hanging="425"/>
        <w:jc w:val="both"/>
        <w:rPr>
          <w:rFonts w:ascii="Times New Roman" w:hAnsi="Times New Roman" w:cs="Times New Roman"/>
          <w:bCs/>
        </w:rPr>
      </w:pPr>
      <w:r w:rsidRPr="0073668D">
        <w:rPr>
          <w:rFonts w:ascii="Times New Roman" w:hAnsi="Times New Roman" w:cs="Times New Roman"/>
        </w:rPr>
        <w:t xml:space="preserve">Aktivitātē 2.1 (Esošo analītisko modeļu apkopošana un izmantošana industriālo pielietojumu prasību identificēšanai) esmu izpētījis esošo sūkņu veidu un konstruktīvo risinājumu daudzveidību, to īpašības, priekšrocības un trūkumus. Pētīju analītiskos modeļus patstāvīgo magnētu sūkņu parametru un efektivitātes aprēķināšanai un to konstrukciju optimizēšanai. Uzsāku iegūto zināšanu apkopošanu. Kopā ar Raimondu Nikoluškinu esam uzsākuši pasaulē zināmo patstāvīgo magnētu sūkņu apkopošanu tabulā, kur ir atspoguļoti to parametri, konstruktīvās īpašības un ekspluatācijas apstākļi. </w:t>
      </w:r>
      <w:r w:rsidRPr="0073668D">
        <w:rPr>
          <w:rFonts w:ascii="Times New Roman" w:hAnsi="Times New Roman" w:cs="Times New Roman"/>
          <w:i/>
        </w:rPr>
        <w:t>(2.1. aktivitāte).</w:t>
      </w:r>
    </w:p>
    <w:p w:rsidR="00E14152" w:rsidRPr="00F35FB9" w:rsidRDefault="0073668D" w:rsidP="001871A6">
      <w:pPr>
        <w:numPr>
          <w:ilvl w:val="0"/>
          <w:numId w:val="1"/>
        </w:numPr>
        <w:tabs>
          <w:tab w:val="clear" w:pos="720"/>
          <w:tab w:val="num" w:pos="426"/>
        </w:tabs>
        <w:spacing w:after="0" w:line="240" w:lineRule="auto"/>
        <w:ind w:left="425" w:hanging="425"/>
        <w:jc w:val="both"/>
        <w:rPr>
          <w:rFonts w:ascii="Times New Roman" w:hAnsi="Times New Roman" w:cs="Times New Roman"/>
          <w:bCs/>
        </w:rPr>
      </w:pPr>
      <w:r w:rsidRPr="0073668D">
        <w:rPr>
          <w:rFonts w:ascii="Times New Roman" w:hAnsi="Times New Roman" w:cs="Times New Roman"/>
        </w:rPr>
        <w:t xml:space="preserve">Aktivitātē 2.2 (Skaitlisko 2D un 3D modeļu izveidošana un optimizēšana) kopā ar Mārtiņu Sārmu esam izpētījuši esošos risinājumus brīvā koda OpenFOAM vidē EM lauka aprēķināšanai sistēmām ar patstāvīgiem magnētiem. Secinājām, ka neviens no eksistējošiem risinātājiem nespēj aprēķinām EM lauku patstāvīgo magnētu sūkņos. Izpētījām OpenFOAM bibliotēku iespējas un izstrādājām koncepciju piemērotā risinātāja izstrādei. </w:t>
      </w:r>
      <w:r w:rsidRPr="0073668D">
        <w:rPr>
          <w:rFonts w:ascii="Times New Roman" w:hAnsi="Times New Roman" w:cs="Times New Roman"/>
          <w:i/>
        </w:rPr>
        <w:t>(2.2. aktivitāte).</w:t>
      </w:r>
    </w:p>
    <w:p w:rsidR="00F35FB9" w:rsidRDefault="00F35FB9" w:rsidP="00F35FB9">
      <w:pPr>
        <w:spacing w:after="0" w:line="240" w:lineRule="auto"/>
        <w:ind w:left="425"/>
        <w:jc w:val="both"/>
        <w:rPr>
          <w:rFonts w:ascii="Times New Roman" w:hAnsi="Times New Roman" w:cs="Times New Roman"/>
          <w:i/>
        </w:rPr>
      </w:pPr>
    </w:p>
    <w:p w:rsidR="00F35FB9" w:rsidRPr="00073507" w:rsidRDefault="00F35FB9" w:rsidP="00F35FB9">
      <w:pPr>
        <w:spacing w:after="0" w:line="240" w:lineRule="auto"/>
        <w:ind w:left="425"/>
        <w:jc w:val="both"/>
        <w:rPr>
          <w:rFonts w:ascii="Times New Roman" w:hAnsi="Times New Roman" w:cs="Times New Roman"/>
          <w:bCs/>
        </w:rPr>
      </w:pPr>
    </w:p>
    <w:p w:rsidR="00073507" w:rsidRPr="00073507" w:rsidRDefault="00073507" w:rsidP="00F35FB9">
      <w:pPr>
        <w:spacing w:after="0" w:line="240" w:lineRule="auto"/>
        <w:jc w:val="both"/>
        <w:rPr>
          <w:rFonts w:ascii="Times New Roman" w:hAnsi="Times New Roman" w:cs="Times New Roman"/>
        </w:rPr>
      </w:pPr>
      <w:r w:rsidRPr="00073507">
        <w:rPr>
          <w:rFonts w:ascii="Times New Roman" w:hAnsi="Times New Roman" w:cs="Times New Roman"/>
        </w:rPr>
        <w:t>07.01.2014.</w:t>
      </w:r>
    </w:p>
    <w:sectPr w:rsidR="00073507" w:rsidRPr="00073507" w:rsidSect="00B11289">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65E7" w:rsidRDefault="009265E7" w:rsidP="0079680B">
      <w:pPr>
        <w:spacing w:after="0" w:line="240" w:lineRule="auto"/>
      </w:pPr>
      <w:r>
        <w:separator/>
      </w:r>
    </w:p>
  </w:endnote>
  <w:endnote w:type="continuationSeparator" w:id="1">
    <w:p w:rsidR="009265E7" w:rsidRDefault="009265E7" w:rsidP="00796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C30" w:rsidRDefault="00801C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152" w:rsidRPr="00006DD1" w:rsidRDefault="00E14152" w:rsidP="001871A6">
    <w:pPr>
      <w:pStyle w:val="Footer"/>
      <w:jc w:val="both"/>
      <w:rPr>
        <w:rFonts w:ascii="Times New Roman" w:hAnsi="Times New Roman" w:cs="Times New Roman"/>
        <w:sz w:val="20"/>
        <w:szCs w:val="20"/>
      </w:rPr>
    </w:pPr>
    <w:r w:rsidRPr="00006DD1">
      <w:rPr>
        <w:rFonts w:ascii="Times New Roman" w:hAnsi="Times New Roman" w:cs="Times New Roman"/>
        <w:sz w:val="20"/>
        <w:szCs w:val="20"/>
      </w:rPr>
      <w:t xml:space="preserve">Finansējuma saņēmējs: </w:t>
    </w:r>
    <w:r w:rsidR="009C447B" w:rsidRPr="009C447B">
      <w:rPr>
        <w:rFonts w:ascii="Times New Roman" w:hAnsi="Times New Roman" w:cs="Times New Roman"/>
        <w:sz w:val="20"/>
        <w:szCs w:val="20"/>
      </w:rPr>
      <w:t>Latvijas Universitātes aģentūra „Latvijas Universitātes Fizikas institūts”</w:t>
    </w:r>
  </w:p>
  <w:p w:rsidR="00690318" w:rsidRDefault="00E14152" w:rsidP="001871A6">
    <w:pPr>
      <w:spacing w:after="0" w:line="240" w:lineRule="auto"/>
      <w:jc w:val="both"/>
      <w:rPr>
        <w:rFonts w:ascii="Times New Roman" w:hAnsi="Times New Roman" w:cs="Times New Roman"/>
        <w:sz w:val="20"/>
        <w:szCs w:val="20"/>
      </w:rPr>
    </w:pPr>
    <w:r w:rsidRPr="00006DD1">
      <w:rPr>
        <w:rFonts w:ascii="Times New Roman" w:hAnsi="Times New Roman" w:cs="Times New Roman"/>
        <w:sz w:val="20"/>
        <w:szCs w:val="20"/>
      </w:rPr>
      <w:t>Projekta nosaukums</w:t>
    </w:r>
    <w:r w:rsidR="001871A6" w:rsidRPr="00006DD1">
      <w:rPr>
        <w:rFonts w:ascii="Times New Roman" w:hAnsi="Times New Roman" w:cs="Times New Roman"/>
        <w:sz w:val="20"/>
        <w:szCs w:val="20"/>
      </w:rPr>
      <w:t>:</w:t>
    </w:r>
    <w:r w:rsidRPr="00006DD1">
      <w:rPr>
        <w:rFonts w:ascii="Times New Roman" w:hAnsi="Times New Roman" w:cs="Times New Roman"/>
        <w:sz w:val="20"/>
        <w:szCs w:val="20"/>
      </w:rPr>
      <w:t xml:space="preserve"> </w:t>
    </w:r>
    <w:r w:rsidR="00690318">
      <w:rPr>
        <w:rFonts w:ascii="Times New Roman" w:hAnsi="Times New Roman" w:cs="Times New Roman"/>
        <w:sz w:val="20"/>
        <w:szCs w:val="20"/>
      </w:rPr>
      <w:t>„</w:t>
    </w:r>
    <w:r w:rsidR="00690318" w:rsidRPr="00690318">
      <w:rPr>
        <w:rFonts w:ascii="Times New Roman" w:hAnsi="Times New Roman" w:cs="Times New Roman"/>
        <w:sz w:val="20"/>
        <w:szCs w:val="20"/>
      </w:rPr>
      <w:t>Elektromagnētisko indukcijas sūkņu aprēķināšanas un optimizēšanas metodikas izstrādāšana industriāliem pielietojumiem</w:t>
    </w:r>
    <w:r w:rsidR="00690318">
      <w:rPr>
        <w:rFonts w:ascii="Times New Roman" w:hAnsi="Times New Roman" w:cs="Times New Roman"/>
        <w:sz w:val="20"/>
        <w:szCs w:val="20"/>
      </w:rPr>
      <w:t>”</w:t>
    </w:r>
  </w:p>
  <w:p w:rsidR="00772D7C" w:rsidRPr="00006DD1" w:rsidRDefault="00E14152" w:rsidP="001871A6">
    <w:pPr>
      <w:spacing w:after="0" w:line="240" w:lineRule="auto"/>
      <w:jc w:val="both"/>
      <w:rPr>
        <w:rFonts w:ascii="Times New Roman" w:hAnsi="Times New Roman" w:cs="Times New Roman"/>
        <w:sz w:val="20"/>
        <w:szCs w:val="20"/>
      </w:rPr>
    </w:pPr>
    <w:r w:rsidRPr="00006DD1">
      <w:rPr>
        <w:rFonts w:ascii="Times New Roman" w:hAnsi="Times New Roman" w:cs="Times New Roman"/>
        <w:sz w:val="20"/>
        <w:szCs w:val="20"/>
      </w:rPr>
      <w:t>Projekts</w:t>
    </w:r>
    <w:r w:rsidR="001871A6" w:rsidRPr="00006DD1">
      <w:rPr>
        <w:rFonts w:ascii="Times New Roman" w:hAnsi="Times New Roman" w:cs="Times New Roman"/>
        <w:sz w:val="20"/>
        <w:szCs w:val="20"/>
      </w:rPr>
      <w:t>:</w:t>
    </w:r>
    <w:r w:rsidRPr="00006DD1">
      <w:rPr>
        <w:rFonts w:ascii="Times New Roman" w:hAnsi="Times New Roman" w:cs="Times New Roman"/>
        <w:sz w:val="20"/>
        <w:szCs w:val="20"/>
      </w:rPr>
      <w:t xml:space="preserve"> Nr. </w:t>
    </w:r>
    <w:r w:rsidR="00801C30" w:rsidRPr="00801C30">
      <w:rPr>
        <w:rFonts w:ascii="Times New Roman" w:hAnsi="Times New Roman" w:cs="Times New Roman"/>
        <w:sz w:val="20"/>
        <w:szCs w:val="20"/>
      </w:rPr>
      <w:t>2013/0018/1DP/1.1.1.2.0/13/APIA/VIAA/061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C30" w:rsidRDefault="00801C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65E7" w:rsidRDefault="009265E7" w:rsidP="0079680B">
      <w:pPr>
        <w:spacing w:after="0" w:line="240" w:lineRule="auto"/>
      </w:pPr>
      <w:r>
        <w:separator/>
      </w:r>
    </w:p>
  </w:footnote>
  <w:footnote w:type="continuationSeparator" w:id="1">
    <w:p w:rsidR="009265E7" w:rsidRDefault="009265E7" w:rsidP="00796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C30" w:rsidRDefault="00801C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726" w:rsidRPr="001871A6" w:rsidRDefault="006975EB" w:rsidP="002B5726">
    <w:pPr>
      <w:pStyle w:val="Header"/>
      <w:tabs>
        <w:tab w:val="clear" w:pos="4153"/>
        <w:tab w:val="center" w:pos="2552"/>
      </w:tabs>
      <w:jc w:val="both"/>
      <w:rPr>
        <w:b/>
        <w:bCs/>
        <w:noProof/>
        <w:sz w:val="28"/>
        <w:szCs w:val="28"/>
      </w:rPr>
    </w:pPr>
    <w:r w:rsidRPr="006975EB">
      <w:rPr>
        <w:b/>
        <w:bCs/>
        <w:noProof/>
        <w:sz w:val="28"/>
        <w:szCs w:val="28"/>
      </w:rPr>
      <w:drawing>
        <wp:inline distT="0" distB="0" distL="0" distR="0">
          <wp:extent cx="942975" cy="619125"/>
          <wp:effectExtent l="19050" t="0" r="9525" b="0"/>
          <wp:docPr id="7" name="Picture 1" descr="Y:\Logo\ESF logo\ESF_pilnais_mb_JPG.jpg"/>
          <wp:cNvGraphicFramePr/>
          <a:graphic xmlns:a="http://schemas.openxmlformats.org/drawingml/2006/main">
            <a:graphicData uri="http://schemas.openxmlformats.org/drawingml/2006/picture">
              <pic:pic xmlns:pic="http://schemas.openxmlformats.org/drawingml/2006/picture">
                <pic:nvPicPr>
                  <pic:cNvPr id="1354" name="Picture 2" descr="Y:\Logo\ESF logo\ESF_pilnais_mb_JPG.jpg"/>
                  <pic:cNvPicPr>
                    <a:picLocks noChangeAspect="1" noChangeArrowheads="1"/>
                  </pic:cNvPicPr>
                </pic:nvPicPr>
                <pic:blipFill>
                  <a:blip r:embed="rId1"/>
                  <a:srcRect/>
                  <a:stretch>
                    <a:fillRect/>
                  </a:stretch>
                </pic:blipFill>
                <pic:spPr bwMode="auto">
                  <a:xfrm>
                    <a:off x="0" y="0"/>
                    <a:ext cx="942975" cy="619125"/>
                  </a:xfrm>
                  <a:prstGeom prst="rect">
                    <a:avLst/>
                  </a:prstGeom>
                  <a:noFill/>
                  <a:ln w="9525">
                    <a:noFill/>
                    <a:miter lim="800000"/>
                    <a:headEnd/>
                    <a:tailEnd/>
                  </a:ln>
                </pic:spPr>
              </pic:pic>
            </a:graphicData>
          </a:graphic>
        </wp:inline>
      </w:drawing>
    </w:r>
    <w:r w:rsidR="002B5726" w:rsidRPr="006975EB">
      <w:rPr>
        <w:b/>
        <w:bCs/>
        <w:noProof/>
        <w:sz w:val="28"/>
        <w:szCs w:val="28"/>
      </w:rPr>
      <w:t xml:space="preserve"> </w:t>
    </w:r>
    <w:r w:rsidR="002B5726">
      <w:rPr>
        <w:b/>
        <w:bCs/>
        <w:noProof/>
        <w:sz w:val="28"/>
        <w:szCs w:val="28"/>
      </w:rPr>
      <w:t xml:space="preserve">            </w:t>
    </w:r>
    <w:r w:rsidR="00006DD1">
      <w:rPr>
        <w:b/>
        <w:bCs/>
        <w:noProof/>
        <w:sz w:val="28"/>
        <w:szCs w:val="28"/>
      </w:rPr>
      <w:tab/>
      <w:t xml:space="preserve">   </w:t>
    </w:r>
    <w:r w:rsidR="009D24C2">
      <w:rPr>
        <w:b/>
        <w:bCs/>
        <w:noProof/>
        <w:sz w:val="28"/>
        <w:szCs w:val="28"/>
      </w:rPr>
      <w:t xml:space="preserve"> </w:t>
    </w:r>
    <w:r w:rsidR="00006DD1">
      <w:rPr>
        <w:b/>
        <w:bCs/>
        <w:sz w:val="28"/>
        <w:szCs w:val="28"/>
      </w:rPr>
      <w:t>IEGULDĪJUMS TAVĀ NĀKOTNĒ</w:t>
    </w:r>
    <w:r w:rsidR="009D24C2">
      <w:rPr>
        <w:b/>
        <w:bCs/>
        <w:noProof/>
        <w:sz w:val="28"/>
        <w:szCs w:val="28"/>
      </w:rPr>
      <w:t xml:space="preserve">   </w:t>
    </w:r>
    <w:r w:rsidR="002B5726">
      <w:rPr>
        <w:b/>
        <w:bCs/>
        <w:noProof/>
        <w:sz w:val="28"/>
        <w:szCs w:val="28"/>
      </w:rPr>
      <w:t xml:space="preserve"> </w:t>
    </w:r>
    <w:r w:rsidR="002B5726">
      <w:rPr>
        <w:b/>
        <w:bCs/>
        <w:noProof/>
        <w:sz w:val="28"/>
        <w:szCs w:val="28"/>
      </w:rPr>
      <w:tab/>
      <w:t xml:space="preserve">  </w:t>
    </w:r>
    <w:r w:rsidRPr="006975EB">
      <w:rPr>
        <w:b/>
        <w:bCs/>
        <w:noProof/>
        <w:sz w:val="28"/>
        <w:szCs w:val="28"/>
      </w:rPr>
      <w:drawing>
        <wp:inline distT="0" distB="0" distL="0" distR="0">
          <wp:extent cx="819150" cy="647700"/>
          <wp:effectExtent l="19050" t="0" r="0" b="0"/>
          <wp:docPr id="8" name="Picture 2" descr="es_logo_ar_parakstu_melnbalts"/>
          <wp:cNvGraphicFramePr/>
          <a:graphic xmlns:a="http://schemas.openxmlformats.org/drawingml/2006/main">
            <a:graphicData uri="http://schemas.openxmlformats.org/drawingml/2006/picture">
              <pic:pic xmlns:pic="http://schemas.openxmlformats.org/drawingml/2006/picture">
                <pic:nvPicPr>
                  <pic:cNvPr id="1355" name="Picture 13" descr="es_logo_ar_parakstu_melnbalts"/>
                  <pic:cNvPicPr>
                    <a:picLocks noChangeAspect="1" noChangeArrowheads="1"/>
                  </pic:cNvPicPr>
                </pic:nvPicPr>
                <pic:blipFill>
                  <a:blip r:embed="rId2"/>
                  <a:srcRect/>
                  <a:stretch>
                    <a:fillRect/>
                  </a:stretch>
                </pic:blipFill>
                <pic:spPr bwMode="auto">
                  <a:xfrm>
                    <a:off x="0" y="0"/>
                    <a:ext cx="819150" cy="64770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C30" w:rsidRDefault="00801C3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681202"/>
    <w:multiLevelType w:val="hybridMultilevel"/>
    <w:tmpl w:val="E9DAF3D8"/>
    <w:lvl w:ilvl="0" w:tplc="FF2004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9938"/>
  </w:hdrShapeDefaults>
  <w:footnotePr>
    <w:footnote w:id="0"/>
    <w:footnote w:id="1"/>
  </w:footnotePr>
  <w:endnotePr>
    <w:endnote w:id="0"/>
    <w:endnote w:id="1"/>
  </w:endnotePr>
  <w:compat>
    <w:useFELayout/>
  </w:compat>
  <w:rsids>
    <w:rsidRoot w:val="0079680B"/>
    <w:rsid w:val="00000068"/>
    <w:rsid w:val="00000B8D"/>
    <w:rsid w:val="00006DD1"/>
    <w:rsid w:val="00026B67"/>
    <w:rsid w:val="0003380E"/>
    <w:rsid w:val="00047AF3"/>
    <w:rsid w:val="00073507"/>
    <w:rsid w:val="00105912"/>
    <w:rsid w:val="00105F08"/>
    <w:rsid w:val="001871A6"/>
    <w:rsid w:val="001E2D6F"/>
    <w:rsid w:val="002268E2"/>
    <w:rsid w:val="00260A08"/>
    <w:rsid w:val="002A672D"/>
    <w:rsid w:val="002B5726"/>
    <w:rsid w:val="002D37CE"/>
    <w:rsid w:val="003417A4"/>
    <w:rsid w:val="003F59AE"/>
    <w:rsid w:val="00404349"/>
    <w:rsid w:val="00483B82"/>
    <w:rsid w:val="004B2BC6"/>
    <w:rsid w:val="00594DF9"/>
    <w:rsid w:val="005A6DA1"/>
    <w:rsid w:val="005C6121"/>
    <w:rsid w:val="00636F51"/>
    <w:rsid w:val="006714F7"/>
    <w:rsid w:val="00690318"/>
    <w:rsid w:val="006975EB"/>
    <w:rsid w:val="006A7240"/>
    <w:rsid w:val="006E34FC"/>
    <w:rsid w:val="0073668D"/>
    <w:rsid w:val="00757738"/>
    <w:rsid w:val="00772D7C"/>
    <w:rsid w:val="0079680B"/>
    <w:rsid w:val="00801C30"/>
    <w:rsid w:val="00806B2F"/>
    <w:rsid w:val="00836121"/>
    <w:rsid w:val="00893D44"/>
    <w:rsid w:val="008D73F1"/>
    <w:rsid w:val="008E4AB0"/>
    <w:rsid w:val="00916AED"/>
    <w:rsid w:val="009265E7"/>
    <w:rsid w:val="00950C7F"/>
    <w:rsid w:val="009A3F01"/>
    <w:rsid w:val="009B567C"/>
    <w:rsid w:val="009C447B"/>
    <w:rsid w:val="009D24C2"/>
    <w:rsid w:val="00A14F3E"/>
    <w:rsid w:val="00A725DA"/>
    <w:rsid w:val="00A92D37"/>
    <w:rsid w:val="00AB037B"/>
    <w:rsid w:val="00AD1865"/>
    <w:rsid w:val="00B078D6"/>
    <w:rsid w:val="00B11289"/>
    <w:rsid w:val="00B44F6F"/>
    <w:rsid w:val="00B90E0F"/>
    <w:rsid w:val="00B9588D"/>
    <w:rsid w:val="00BE22DC"/>
    <w:rsid w:val="00C0085E"/>
    <w:rsid w:val="00CE7A8E"/>
    <w:rsid w:val="00DD3465"/>
    <w:rsid w:val="00E04739"/>
    <w:rsid w:val="00E14152"/>
    <w:rsid w:val="00E90127"/>
    <w:rsid w:val="00EA11A7"/>
    <w:rsid w:val="00F35FB9"/>
    <w:rsid w:val="00F55EC1"/>
    <w:rsid w:val="00FD07F4"/>
    <w:rsid w:val="00FD18B0"/>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2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80B"/>
    <w:pPr>
      <w:tabs>
        <w:tab w:val="center" w:pos="4153"/>
        <w:tab w:val="right" w:pos="8306"/>
      </w:tabs>
      <w:spacing w:after="0" w:line="240" w:lineRule="auto"/>
    </w:pPr>
  </w:style>
  <w:style w:type="character" w:customStyle="1" w:styleId="HeaderChar">
    <w:name w:val="Header Char"/>
    <w:basedOn w:val="DefaultParagraphFont"/>
    <w:link w:val="Header"/>
    <w:uiPriority w:val="99"/>
    <w:rsid w:val="0079680B"/>
  </w:style>
  <w:style w:type="paragraph" w:styleId="Footer">
    <w:name w:val="footer"/>
    <w:basedOn w:val="Normal"/>
    <w:link w:val="FooterChar"/>
    <w:uiPriority w:val="99"/>
    <w:unhideWhenUsed/>
    <w:rsid w:val="0079680B"/>
    <w:pPr>
      <w:tabs>
        <w:tab w:val="center" w:pos="4153"/>
        <w:tab w:val="right" w:pos="8306"/>
      </w:tabs>
      <w:spacing w:after="0" w:line="240" w:lineRule="auto"/>
    </w:pPr>
  </w:style>
  <w:style w:type="character" w:customStyle="1" w:styleId="FooterChar">
    <w:name w:val="Footer Char"/>
    <w:basedOn w:val="DefaultParagraphFont"/>
    <w:link w:val="Footer"/>
    <w:uiPriority w:val="99"/>
    <w:rsid w:val="0079680B"/>
  </w:style>
  <w:style w:type="paragraph" w:styleId="BalloonText">
    <w:name w:val="Balloon Text"/>
    <w:basedOn w:val="Normal"/>
    <w:link w:val="BalloonTextChar"/>
    <w:uiPriority w:val="99"/>
    <w:semiHidden/>
    <w:unhideWhenUsed/>
    <w:rsid w:val="007968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80B"/>
    <w:rPr>
      <w:rFonts w:ascii="Tahoma" w:hAnsi="Tahoma" w:cs="Tahoma"/>
      <w:sz w:val="16"/>
      <w:szCs w:val="16"/>
    </w:rPr>
  </w:style>
  <w:style w:type="table" w:styleId="TableGrid">
    <w:name w:val="Table Grid"/>
    <w:basedOn w:val="TableNormal"/>
    <w:uiPriority w:val="59"/>
    <w:rsid w:val="007968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Pages>
  <Words>4892</Words>
  <Characters>2789</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dc:creator>
  <cp:keywords/>
  <dc:description/>
  <cp:lastModifiedBy>DAT</cp:lastModifiedBy>
  <cp:revision>35</cp:revision>
  <dcterms:created xsi:type="dcterms:W3CDTF">2011-11-30T08:07:00Z</dcterms:created>
  <dcterms:modified xsi:type="dcterms:W3CDTF">2014-02-26T09:23:00Z</dcterms:modified>
</cp:coreProperties>
</file>